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2"/>
          <w:szCs w:val="22"/>
          <w:lang w:val="en-US"/>
        </w:rPr>
      </w:pPr>
      <w:bookmarkStart w:id="0" w:name="_GoBack"/>
      <w:r>
        <w:rPr>
          <w:rFonts w:hint="default" w:ascii="Times New Roman" w:hAnsi="Times New Roman" w:cs="Times New Roman"/>
          <w:b/>
          <w:bCs/>
          <w:sz w:val="22"/>
          <w:szCs w:val="22"/>
          <w:lang w:val="en-US"/>
        </w:rPr>
        <w:t>MTO - 148 YEZU WAFFE TUZZE GY’OLI</w:t>
      </w:r>
    </w:p>
    <w:bookmarkEnd w:id="0"/>
    <w:p>
      <w:pPr>
        <w:spacing w:line="360" w:lineRule="auto"/>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(Eng. Transl. Oh Jesus, we come unto thee)</w:t>
      </w:r>
    </w:p>
    <w:p>
      <w:pPr>
        <w:spacing w:line="360" w:lineRule="auto"/>
        <w:jc w:val="right"/>
        <w:rPr>
          <w:rFonts w:hint="default" w:ascii="Times New Roman" w:hAnsi="Times New Roman" w:cs="Times New Roman"/>
          <w:sz w:val="22"/>
          <w:szCs w:val="22"/>
          <w:lang w:val="en-US"/>
        </w:rPr>
      </w:pPr>
      <w:r>
        <w:rPr>
          <w:rFonts w:hint="default" w:ascii="Times New Roman" w:hAnsi="Times New Roman" w:cs="Times New Roman"/>
          <w:sz w:val="22"/>
          <w:szCs w:val="22"/>
          <w:lang w:val="en-US"/>
        </w:rPr>
        <w:t>By Joseph Bakka</w:t>
      </w:r>
    </w:p>
    <w:p>
      <w:pPr>
        <w:spacing w:line="360" w:lineRule="auto"/>
        <w:jc w:val="center"/>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Liturgical Context</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This Eucharistic communion procession song (Okusembera - getting closer, lit.) is one of the most sung numbers. It makes one feel drawn close to the Blessed Sacrament. Its message is pertinent to the communion procession, “ Yezu waffe tuzze gy’oli” ‘Oh Jesus, we come unto thee’. “ Jjangu mangu nkwesiime mu” ‘come quick so I may rejoice in you’. All the five phrased five stanzas express the main motives for the Catholic supreme prayer ‘Mass’ ie. Adoration(Stanza 5), Contrition(Stanza 2), Thanksgiving(Stanza 3) and Supplication(Stanza 4). Stanza 1 acts as an introduction, presentation of worshipers who are coming before God. </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Hints for the Choir Director</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In Mass where you have to choose more communion songs, this particular song should come first, because its message is directed to moving towards God (procession) and its time signature fosters meditation and prayer which are elements expected of a disposed catholic at that particular time of Mass.</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It should be accompanied by the Organ (with interludes where possible to give break to the singers, for beauty or even to make the song a bit longer). At a large extent, drums should be excluded to let people listen to the theological themes in the song. Some parts can be taken by the cantor or soloist. Dancing and clapping are strongly discouraged as the may distort the meditative and prayer elements.</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Dynamics may vary depending on the interpretation of the music director. However, parts for contrition and supplication as presented above should be more tranquil. The last stanza should be sung with vigour not only to bring out the climax element but also to express more yearning for the Lord as its words in the last phrase suggest “Oh Lord come, come” “Kale Yezu jjangu jjangu”</w:t>
      </w: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p>
    <w:p>
      <w:pPr>
        <w:spacing w:line="360" w:lineRule="auto"/>
        <w:jc w:val="both"/>
        <w:rPr>
          <w:rFonts w:hint="default" w:ascii="Times New Roman" w:hAnsi="Times New Roman" w:cs="Times New Roman"/>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Footlight MT Light">
    <w:panose1 w:val="0204060206030A020304"/>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90DC9"/>
    <w:rsid w:val="582166B6"/>
    <w:rsid w:val="61390DC9"/>
    <w:rsid w:val="7F85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2022-01-08T06:32:00Z</dcterms:created>
  <dc:creator>ECS</dc:creator>
  <cp:lastModifiedBy>ECS</cp:lastModifiedBy>
  <dcterms:modified xsi:type="dcterms:W3CDTF">2022-01-08T07:37:09Z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